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389"/>
        <w:gridCol w:w="726"/>
        <w:gridCol w:w="454"/>
        <w:gridCol w:w="481"/>
        <w:gridCol w:w="894"/>
        <w:gridCol w:w="2008"/>
        <w:gridCol w:w="1196"/>
        <w:gridCol w:w="715"/>
        <w:gridCol w:w="1183"/>
        <w:gridCol w:w="578"/>
        <w:gridCol w:w="390"/>
        <w:gridCol w:w="1361"/>
        <w:gridCol w:w="2558"/>
        <w:gridCol w:w="7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德阳二中2020年考核选调旌阳区外优秀教师基本情况一览表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拟聘用学校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最高学历毕业学校及专业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主要荣誉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如：德阳市骨干教师、德阳市青年教师技能大赛一等奖，优质课省一等奖等重量级荣誉或获奖情况。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D0D0D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010A"/>
    <w:rsid w:val="66D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2020-02-21T02:02:00Z</dcterms:created>
  <dc:creator>春和景明</dc:creator>
  <cp:lastModifiedBy>春和景明</cp:lastModifiedBy>
  <dcterms:modified xsi:type="dcterms:W3CDTF">2020-02-21T02:04:38Z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